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272</w:t>
      </w:r>
    </w:p>
    <w:p>
      <w:r>
        <w:t>Bundesgericht (BGE), 2017-04-03, DE</w:t>
      </w:r>
    </w:p>
    <w:p>
      <w:r>
        <w:rPr>
          <w:b/>
        </w:rPr>
        <w:t xml:space="preserve">Quelle: </w:t>
      </w:r>
      <w:r>
        <w:t>https://mcp.opencaselaw.ch/entscheid/bge_143 I 272</w:t>
      </w:r>
    </w:p>
    <w:p>
      <w:r>
        <w:t>FR: ATF 143 I 272</w:t>
      </w:r>
    </w:p>
    <w:p>
      <w:r>
        <w:t>IT: DTF 143 I 272</w:t>
      </w:r>
    </w:p>
    <w:p>
      <w:pPr>
        <w:pStyle w:val="Heading2"/>
      </w:pPr>
      <w:r>
        <w:t>Regeste</w:t>
      </w:r>
    </w:p>
    <w:p>
      <w:r>
        <w:t>Regeste Art. 50 Abs. 1, 51 Abs. 1 und 2, Art. 189 Abs. 1 lit. e BV; Art. 89 Abs. 2 lit. c BGG; Art. 83 und 84 KV/ZH; § 3 Abs. 2 Satz 2 und § 177 GG/ZH in der Fassung vom 20. April 2015; Normenhierarchie auf kantonaler Ebene; abstrakte (hauptfrageweise) Normenkontrolle. Vorrang einer Kantonsverfassung gegenüber dem übrigen kantonalen und dem kommunalen Recht (E. 2.2). Bedeutung der Schulgemeinden und der politischen Gemeinden (Einwohnergemeinden) nach dem Staatsrecht des Kantons Zürich (E. 2.3). Art. 84 Abs. 2 KV/ZH verlangt für den Zusammenschluss einer Schulgemeinde mit einer politischen Gemeinde, dass seitens der Schulgemeinde die Mehrheit der Stimmenden zustimmt. Diese Regelung begründet eine kantonale, durch den Bund gewährleistete Garantie zugunsten der Schulgemeinden. Solche sind daher vor Bundesgericht legitimiert, gegen § 3 Abs. 2 Satz 2 und § 177 des revidierten Gemeindegesetzes vorzugehen, das diese Mitwirkung ausschliesst (E. 2.4). § 3 Abs. 2 Satz 2 und § 177 GG/ZH entziehen sich jeder verfassungskonformen Auslegung, weshalb sie aufzuheben sind (E. 2.5).</w:t>
      </w:r>
    </w:p>
    <w:p>
      <w:pPr>
        <w:pStyle w:val="Heading2"/>
      </w:pPr>
      <w:r>
        <w:t>Erwägungen</w:t>
      </w:r>
    </w:p>
    <w:p>
      <w:r>
        <w:rPr>
          <w:b/>
        </w:rPr>
        <w:t>E. 2.1</w:t>
      </w:r>
    </w:p>
    <w:p>
      <w:r>
        <w:t>Streitig und zu prüfen ist im Rahmen einer abstrakten (hauptfrageweisen) Rechtsetzungskontrolle, ob die streitbetroffenen Bestimmungen mit dem übergeordneten Recht vereinbar sind. Vorliegend stellt sich die Frage nach der Verfassungsmässigkeit von § 3 Abs. 2 Satz 2 und § 177 GG/ZH 2015. Dabei ist in einem ersten Schritt zu prüfen, ob das Verfassungsrecht des Kantons Zürich im streitbetroffenen Bereich Garantien zugunsten der beschwerdeführenden Gemeinden aufstellt (hinten E. 2.2 ff.). Fehlt es daran, ist die Beschwerde aus diesem Grund abzuweisen, andernfalls ist in einem zweiten Schritt der Frage nachzugehen, ob der Gesetzgeber durch Erlass der streitbetroffenen Bestimmungen in die verfassungsgemässe Garantie eingegriffen hat (hinten E. 2.5).</w:t>
      </w:r>
    </w:p>
    <w:p>
      <w:r>
        <w:rPr>
          <w:b/>
        </w:rPr>
        <w:t>E. 2.2.1</w:t>
      </w:r>
    </w:p>
    <w:p>
      <w:r>
        <w:t>Zur Hierarchie der Normen lässt sich der Bundesverfassung einzig entnehmen, dass alles Bundesrecht ( Art. 49 Abs. 1 BV ) und das interkantonale Recht ( Art. 48 Abs. 5 BV ) widersprechendes kantonales Recht zurückdrängt. Die innerkantonale Normhierarchie bleibt unerwähnt. Gemäss Art. 51 Abs. 1 BV gibt sich aber jeder Kanton eine demokratische Verfassung (dazu BGE 140 I 394 E. 8.1 S. 401). Im Normgefüge des Kantons kommt der Verfassung alsdann der normative Vorrang zu (ANDREAS AUER, Staatsrecht der schweizerischen Kantone, 2016, N. 485). Sie ist "formellement supérieure au reste du droit cantonal" (JEAN-FRANÇOIS AUBERT, in: Petit commentaire de la Constitution fédérale de la Confédération suisse [...], Aubert/Mahon [Hrsg.], 2003, N. 2 zu Art. 51 BV ). Folglich geht eine kantonale Verfassung allen Arten des subkonstitutionellen Rechts des betreffenden Kantons vor, was Art. 51 BV stillschweigend voraussetzt (BELSER/MASSÜGER, in: Basler Kommentar, Bundesverfassung, 2015, N. 16 zu Art. 51 BV ; GIOVANNI BIAGGINI, BV, Bundesverfassung der Schweizerischen Eidgenossenschaft [...], 2007, N. 8 zu Art. 51 BV ). BGE 143 I 272 S. 277</w:t>
      </w:r>
    </w:p>
    <w:p>
      <w:r>
        <w:rPr>
          <w:b/>
        </w:rPr>
        <w:t>E. 2.2.2</w:t>
      </w:r>
    </w:p>
    <w:p>
      <w:r>
        <w:t>Die Vorrangstellung der kantonalen Verfassung spiegelt sich zudem darin, dass die Kantonsverfassungen der Gewährleistung des Bundes bedürfen ( Art. 51 Abs. 2 Satz 1 BV ). Der Bund erteilt die Gewährleistung, wenn das kantonale Verfassungsrecht dem Bundesrecht nicht widerspricht ( Art. 51 Abs. 2 Satz 2 BV ). Der Begriff des Bundesrechts im Sinne von Art. 51 Abs. 2 BV umfasst sämtliche Rechtsetzungsstufen des Bundes (AUER, a.a.O., N. 592). Mit dem Erfordernis der Gewährleistung stellt der Bund im Zeitpunkt der Gewährleistung den Vorrang des Bundesrechts gegenüber kantonalem Recht sicher. Unterkonstitutionelles kantonales Recht ist der Gewährleistung nicht zugänglich. Die Bundesversammlung verbindet mit der Gewährleistung der Verfassung die Erwartung, dass das nachgeordnete kantonale Recht mit dem gewährleisteten Verfassungsrecht in Einklang steht. Dies ist ein Aspekt des Gebots der Bundestreue, wie sie sich insbesondere aus Art. 44 BV ergibt.</w:t>
      </w:r>
    </w:p>
    <w:p>
      <w:r>
        <w:rPr>
          <w:b/>
        </w:rPr>
        <w:t>E. 2.2.3</w:t>
      </w:r>
    </w:p>
    <w:p>
      <w:r>
        <w:t>Die Auslegung einer Kantonsverfassung folgt grundsätzlich jenen Regeln, die für die Auslegung des unterkonstitutionellen Rechts gelten ( BGE 139 II 243 E. 8 S. 249; BGE 131 I 74 E. 4.1 S. 80). Ausgangspunkt der Auslegung eines Rechtssatzes bildet der Wortlaut der Bestimmung (grammatikalisches Element; BGE 142 V 402 E. 4.1 S. 404 f.). Ist der Wortlaut der Bestimmung klar, d. h. eindeutig und unmissverständlich, darf davon nur abgewichen werden, wenn triftiger Grund für die Annahme besteht, der Wortlaut ziele am "wahren Sinn" der Regelung vorbei. Anlass für eine solche Annahme können die Entstehungsgeschichte der Bestimmung (historisches Element), ihr Zweck (teleologisches Element) oder der Zusammenhang mit andern Vorschriften (systematisches Element) geben ( BGE 142 I 135 E. 1.1.1 S. 138; BGE 142 III 695 E. 4.1.2 S. 699; BGE 141 II 57 E. 3.2 S. 61). Nur für den Fall, dass der Wortlaut der Bestimmung unklar bzw. nicht restlos klar ist und verschiedene Interpretationen möglich bleiben, muss nach der wahren Tragweite der Bestimmung gesucht werden. Dabei sind alle anerkannten Auslegungselemente zu berücksichtigen (pragmatischer Methodenpluralismus; BGE 142 I 135 E. 1.1.1 S. 138; BGE 142 III 695 E. 4.1.2 S. 699). Auch eine solche Auslegung findet ihre Grenzen aber am klaren Wortlaut und Sinn einer Gesetzesbestimmung, indem der eindeutige Wortsinn nicht zugunsten einer solchen Interpretation beiseitegeschoben werden darf ( BGE 141 V 221 E. 5.2.1 S. 225). BGE 143 I 272 S. 278</w:t>
      </w:r>
    </w:p>
    <w:p>
      <w:r>
        <w:rPr>
          <w:b/>
        </w:rPr>
        <w:t>E. 2.3.1</w:t>
      </w:r>
    </w:p>
    <w:p>
      <w:r>
        <w:t>Die Gemeinde ist ein Institut des kantonalen Rechts (AUER, a.a.O., N. 412). Der konkrete Umfang des Rechtsinstituts geht daher aus dem jeweiligen kantonalen Verfassungsrecht hervor, soweit der Kanton überhaupt Anordnungen auf Verfassungsstufe trifft, zumindest aber aus dem jeweiligen Gesetzesrecht ( BGE 141 I 36 E. 5.3 S. 42 f.; BGE 140 I 285 E. 4.1 S. 292 f.; BGE 139 I 169 E. 6.1 S. 173). Die Bundesverfassung gewährleistet die Gemeindeautonomie nur, aber immerhin in diesem Umfang, mithin "nach Massgabe des kantonalen Rechts" ( Art. 50 Abs. 1 BV ; zum Ganzen BGE 141 I 36 E. 5.3 S. 42 f. mit Hinweisen). Der rechtliche Beitrag des Bundes erschöpft sich darin, die Gemeindeautonomie gerichtlich in dem vom Kanton umrissenen Umfang zu schützen (PIERRE TSCHANNEN, Staatsrecht der Schweizerischen Eidgenossenschaft, 4. Aufl. 2016, § 17 N. 4).</w:t>
      </w:r>
    </w:p>
    <w:p>
      <w:r>
        <w:rPr>
          <w:b/>
        </w:rPr>
        <w:t>E. 2.3.2</w:t>
      </w:r>
    </w:p>
    <w:p>
      <w:r>
        <w:t>Der bundesgerichtlichen Praxis zufolge sind Gemeinden in einem Sachbereich autonom, wenn das kantonale Recht diesen nicht abschliessend ordnet , sondern ihn ganz oder teilweise der Gemeinde zur Regelung überlässt und ihr in diesem Bereich eine relativerhebliche Entscheidungsfreiheit einräumt ( BGE 142 I 177 E. 2 S. 180). Der Gestaltungsspielraum muss, um als Garantie des Kantons gelten zu können, sowohl quantitativ (Befugnis, eine wesentliche Frage eigenständig zu beantworten) als auch qualitativ erheblich sein (bezogen auf eine kommunale Angelegenheit; TSCHANNEN, a.a.O., § 17 N. 6). Inhaltlich kann die Entscheidungsfreiheit sich ebenso auf die Rechtsetzung des kommunalen Rechts wie auf die Rechtsanwendung des eidgenössischen, kantonalen oder kommunalen Rechts beziehen (TSCHANNEN, a.a.O., § 17 N. 9 und 11).</w:t>
      </w:r>
    </w:p>
    <w:p>
      <w:r>
        <w:rPr>
          <w:b/>
        </w:rPr>
        <w:t>E. 2.3.3</w:t>
      </w:r>
    </w:p>
    <w:p>
      <w:r>
        <w:t>Das Staatsrecht des Kantons Zürich sieht das Institut der Gemeinde in drei Erscheinungsformen vor. Dabei handelt es sich um die politischen Gemeinden (Einwohnergemeinden; Art. 83 Abs. 1 KV/ZH ), die Schulgemeinden ( Art. 83 Abs. 2 KV/ZH ) und die kirchlichen Körperschaften ( Art. 130 KV/ZH ). Deren Selbständigkeit wird anerkannt ( Art. 1 Abs. 4 KV/ZH ), wenn auch nur in allgemeiner Weise ( BGE 136 I 395 E. 3.2.2 S. 398; Urteil 2C_919/2011 vom 9. Februar 2012 E. 2.2.1, in: ZBl 113/2012 S. 543, RDAF 2013 I S. 350). Die Gemeinden sind berechtigt und verpflichtet, ihre Angelegenheiten selbständig zu regeln ( Art. 85 Abs. 1 KV/ZH ). Die politischen Gemeinden unterliegen dem Subsidiaritätsprinzip. Kraft ausdrücklicher Anordnung nehmen sie alle öffentlichen Aufgaben BGE 143 I 272 S. 279 wahr, für die weder Bund noch Kanton zuständig sind ( Art. 83 Abs. 1 KV/ZH ).</w:t>
      </w:r>
    </w:p>
    <w:p>
      <w:r>
        <w:rPr>
          <w:b/>
        </w:rPr>
        <w:t>E. 2.3.4</w:t>
      </w:r>
    </w:p>
    <w:p>
      <w:r>
        <w:t>Die Kantone üben alle Rechte aus, die nicht dem Bund übertragen sind (Art. 3 Teilsatz 2 BV; BGE 142 II 182 E. 3.2.2 S. 194). Mangels einer Bundeskompetenz sind die Kantone auch für das Schulwesen zuständig, was deklaratorisch aus Art. 62 Abs. 1 BV hervorgeht. Sie haben in organisatorischer, fachlicher und finanzieller Hinsicht für einen ausreichenden Grundschulunterricht zu sorgen, der allen Kindern offensteht ( Art. 62 Abs. 2 Satz 1 BV in der Fassung vom 16. Dezember 2005, in Kraft seit 21. Mai 2006 [AS 2006 3033]; BGE 140 I 153 E. 2.3.2 S. 156 f.). Sache der Kantone ist es daher auch, darüber zu befinden, welcher Behörde die Wahrnehmung des Bildungsauftrags obliegt. Dem Bundesrecht lässt sich hierzu nichts entnehmen. Nach Art. 116 Abs. 1 KV/ZH führen "Kanton und Gemeinden" qualitativ hochstehende öffentliche Schulen.</w:t>
      </w:r>
    </w:p>
    <w:p>
      <w:r>
        <w:rPr>
          <w:b/>
        </w:rPr>
        <w:t>E. 2.3.5</w:t>
      </w:r>
    </w:p>
    <w:p>
      <w:r>
        <w:t>In organisatorischer Hinsicht hält Art. 83 Abs. 2 KV/ZH fest, dass die Aufgaben im Bereich von Schule und Bildung von Schulgemeinden wahrgenommen werden können . Bei ihnen handelt es sich um "Spezialgemeinden", deren Aufgabenbereich auf die Volksschule (Kindergarten, Primarschule und Oberstufe) beschränkt ist (JAAG, in: Kommentar zur Zürcher Kantonsverfassung, 2007, N. 15 zu Art. 83 KV/ZH ). Den "Einheitsgemeinden", welche neben allen weiteren auch die Aufgaben aus dem Bildungsauftrag wahrnehmen, kommt konzeptionell die "Vorrangstellung" zu (URS GLÄTTLI, in: Ergänzungsband zum Kommentar zum Zürcher Gemeindegesetz, Verein Zürcher Gemeindeschreiber und Verwaltungsfachleute [Hrsg.],2011, N. 1 und 2 zu § 4 GG/ZH 1926; dazu auch FRANZ KESSLER, Die Anfänge der Gemeindeautonomie im Kanton Zürich, in: Festschrift für Alfred Kölz, Isabelle Häner [Hrsg.], 2003, S. 131 ff., insb. 148).</w:t>
      </w:r>
    </w:p>
    <w:p>
      <w:r>
        <w:rPr>
          <w:b/>
        </w:rPr>
        <w:t>E. 2.4.1</w:t>
      </w:r>
    </w:p>
    <w:p>
      <w:r>
        <w:t>Anders als politische Gemeinden, deren Bestand in dem Sinne garantiert ist, dass ein lückenloser Teppich vorliegen muss, der restlos das gesamte Kantonsgebiet abdeckt, handelt es sich bei den Schulgemeinden um ein fakultatives Institut. Bildungsaufgaben "können" einer Schulgemeinde übertragen werden, ansonsten die politische Gemeinde auch hierfür zuständig ist ( Art. 83 Abs. 1 KV/ZH ). Besteht aber eine Schulgemeinde, kann diese mit der "Mehrheit der Stimmenden jeder beteiligten Gemeinde " ( Art. 84 Abs. 1 KV/ZH ) mit einer anderen Schulgemeinde fusionieren (gleichartige Fusion, BGE 143 I 272 S. 280 "Kombinationsfusion"). Ein Zusammenschluss ist aber auch mit der politischen Gemeinde möglich, auf deren Gebiet sie sich befindet (ungleichartige Fusion, "Absorptionsfusion"; JAAG, a.a.O., N. 5 zu Art. 84 KV/ZH ). In diesem letzteren Fall geht die Schulgemeinde ersatzlos unter, was aber nur mit der "Zustimmung der Mehrheit der Stimmenden dieser Gemeinde " geschehen kann ( Art. 84 Abs. 2 KV/ZH ). In einem solchen Fall sieht die Verfassung eine Urnenabstimmung auf Ebene der Schulgemeinde vor ( Art. 84 Abs. 3 KV/ZH ). Das Einverständnis der aufnehmenden politischen Gemeinde ist entbehrlich (zum Ganzen JAAG, a.a.O., N. 4 ff. zu Art. 84 KV/ZH ).</w:t>
      </w:r>
    </w:p>
    <w:p>
      <w:r>
        <w:rPr>
          <w:b/>
        </w:rPr>
        <w:t>E. 2.4.2</w:t>
      </w:r>
    </w:p>
    <w:p>
      <w:r>
        <w:t>Zwangsfusionen über die Köpfe der Stimmberechtigten hinweg sieht das Staatsrecht des Kantons Zürich nicht (mehr) vor (JAAG, a.a.O., N. 6 zu Art. 84 KV/ZH ). Entsprechend wenig lässt sich aus BGE 131 I 91 betreffend die Munizipalgemeinde Ausserbinn/VS herleiten, weicht die Rechtslage im Kanton Wallis doch ganz erheblich von jener des Kantons Zürich ab. Gemäss Art. 26 Abs. 3 der Verfassung des Kantons Wallis vom 8. März 1907 (KV/VS; SR 131.232) und Art. 135 des Gemeindegesetzes (des Kantons Wallis) vom 5. Februar 2004 (GG/VS; SGS 175.1) ist die zwangsweise Fusion von Gemeinden zulässig, wenn auch nur unter den gesetzlichen Voraussetzungen. Im Kanton Zürich verhält es sich grundlegend anders: Soll eine Schulgemeinde aufgelöst werden, bedarf es gemäss Art. 84 Abs. 2 KV/ZH der Zustimmung der Mehrheit der Stimmenden der Schulgemeinde.</w:t>
      </w:r>
    </w:p>
    <w:p>
      <w:r>
        <w:rPr>
          <w:b/>
        </w:rPr>
        <w:t>E. 2.4.3</w:t>
      </w:r>
    </w:p>
    <w:p>
      <w:r>
        <w:t>Der Wortlaut von Art. 84 Abs. 2 KV/ZH lässt mithin keine Fragen offen, er ist klar. Vom eindeutigen und unmissverständlichen Wortlaut darf nach dem Gesagten nur abgewichen werden, wenn triftiger Grund für die Annahme besteht, er ziele am "wahren Sinn" der Regelung vorbei. Anlass für eine solche Annahme können die Entstehungsgeschichte der Bestimmung ( historisches Element ), ihr Zweck ( teleologisches Element ) oder der Zusammenhang mit andern Vorschriften (systematisches Element) geben (vorne E. 2.2.3).</w:t>
      </w:r>
    </w:p>
    <w:p>
      <w:r>
        <w:rPr>
          <w:b/>
        </w:rPr>
        <w:t>E. 2.4.4</w:t>
      </w:r>
    </w:p>
    <w:p>
      <w:r>
        <w:t>Erkenntnisse lassen sich insbesondere aus der Entstehungsgeschichte gewinnen. Gemäss der seinerzeitigen Kantonsverfassung des Kantons Zürich von 18. April 1869 erfolgte die Bildung neuer und die Vereinigung oder Auflösung bestehender Gemeinden ursprünglich im Weg der Gesetzgebung (Art. 47 Abs. 2 KV/ZH 1869). Am 31. Januar 1904 kam es zu einer Revision dieser Verfassungsbestimmung. Fortan - und dies bis zur Totalrevision von 2005 - BGE 143 I 272 S. 281 galt, dass über die Neubildung, Vereinigung oder Auflösung von Schulgemeinden mit Beschluss des Kantonsrats zu befinden war (dazu WALTER WETTSTEIN, Die Gemeindegesetzgebung des Kantons Zürich, 1907, N. 2; HANS RUDOLF THALMANN, Kommentar zum Zürcher Gemeindegesetz, 3. Aufl. 2000, N. 2 zu § 4 GG/ZH 1926; GLÄTTLI, a.a.O., N. 1 zu § 4 GG/ZH 1926). Der Verfassungsgeber von 2005 übertrug diese Kompetenz alsdann vom Kantonsrat an die Stimmenden der Schulgemeinde ( Art. 84 Abs. 2 KV/ZH ).</w:t>
      </w:r>
    </w:p>
    <w:p>
      <w:r>
        <w:rPr>
          <w:b/>
        </w:rPr>
        <w:t>E. 2.4.5</w:t>
      </w:r>
    </w:p>
    <w:p>
      <w:r>
        <w:t>Die jüngste Kompetenzverschiebung scheint mit Bedacht getroffen worden zu sein. Wie den Protokollen des Verfassungsrates zu entnehmen ist, ging mit Art. 84 KV/ZH die Absicht einher, die Gemeindeautonomie zu stärken. So wies der Sprecher in der zweiten Gesamtlesung darauf hin, dass "Eingriffe von oben, wie sie heute möglich sind", abzulehnen seien (Votum von Verfassungsrat Kurt Stäheli, 59. Sitzung des Verfassungsrates vom 8. Juli 2004, S. 3194; siehe auch 3195 f.). Die Verabschiedung von Art. 84 Abs. 2 KV/ZH musste sich in der Folge unmittelbar auf § 4 Abs. 2 GG/ZH 1926 auswirken. Denn dieser sah weiterhin vor, dass der Kantonsrat die Fusion von Schulgemeinden anordnen konnte, "wenn die besonderen Verhältnisse der Gemeinden die Vereinigung als zweckmässig erscheinen lassen". Mit dem Inkrafttreten von Art. 84 Abs. 2 KV/ZH blieb der nunmehr verfassungswidrige § 4 Abs. 2 GG/ZH 1926 formell zwar in Kraft, er konnte aber nicht mehr angewendet werden (dazu GLÄTTLI, a.a.O., N. 1 zu § 4 GG/ZH 1926).</w:t>
      </w:r>
    </w:p>
    <w:p>
      <w:r>
        <w:rPr>
          <w:b/>
        </w:rPr>
        <w:t>E. 2.4.6</w:t>
      </w:r>
    </w:p>
    <w:p>
      <w:r>
        <w:t>Unter diesen entstehungsgeschichtlichen Vorzeichen ist es von vornherein unzulässig, vom klaren Wortlaut von Art. 84 Abs. 2 KV/ZH abzuweichen. Der Normtext gibt den Normsinn treffend wieder. Im Sinne eines Zwischenergebnisses zeigt sich, dass Art. 84 Abs. 2 KV/ZH eine kantonale Garantie zugunsten der Schulgemeinden gewährt ( Art. 189 Abs. 1 lit. e BV ): Es liegt in der ausschliesslichen Zuständigkeit der Stimmberechtigten der jeweiligen Schulgemeinde, darüber zu befinden, ob die Schulgemeinde in der bisherigen Form beibehalten werden, mit einer anderen Schulgemeinde fusionieren oder in der politischen Gemeinde aufgehen soll. Diese Garantie, wie sie sich aus der gewährleisteten Kantonsverfassung ergibt, steht unter dem Schutz der Eidgenossenschaft. Die Schulgemeinden können mit Recht rügen, eine die Garantie durchkreuzende Gesetzesbestimmung halte vor dem übergeordneten Recht nicht stand ( Art. 89 Abs. 2 lit. c BGG ). BGE 143 I 272 S. 282</w:t>
      </w:r>
    </w:p>
    <w:p>
      <w:r>
        <w:rPr>
          <w:b/>
        </w:rPr>
        <w:t>E. 2.5.1</w:t>
      </w:r>
    </w:p>
    <w:p>
      <w:r>
        <w:t>Damit fragt sich in der Sache selbst, ob die streitbetroffenen Normen (§ 3 Abs. 2 Satz 2 und § 177 GG/ZH 2015) mit Art. 84 Abs. 2 KV/ZH vereinbar sind. Der Verfassung kommt im Normgefüge jedes Kantons der normative Vorrang zu (vorne E. 2.2.1), zumal sie die Gewährleistung seitens der Bundesversammlung erfahren hat (vorne E. 2.2.2). Umso mehr ist der Kanton auf seine Verfassung zu behaften. Er hat unterkonstitutionelles Recht in Einklang mit der gewährleisteten Verfassung zu gestalten. Wenn anlässlich der hauptfrageweisen Rechtsetzungskontrolle zu klären ist, ob der kantonale Gesetz- und/oder Verordnungsgeber diesen Ansprüchen genügt hat, auferlegt sich das Bundesgericht, trotz freier Prüfungsbefugnis (nicht publ. E. 1.3.8), aber eine gewisse Zurückhaltung. Diese ist in der Rücksicht auf den Föderalismus und die Verhältnismässigkeit begründet. Das Bundesgericht prüft praxisgemäss (nur), ob der angefochtenen Norm nach den anerkannten Auslegungsregeln ein Sinn beigemessen werden kann, der sich mit dem übergeordneten Recht vereinbaren lässt. Das Bundesgericht hebt ein kantonales Gesetz oder eine kantonale Rechtsverordnung nur auf, falls die Norm sich jeder verfassungs- und völkerrechtskonformen Auslegung entzieht, nicht jedoch bereits, wenn sie einer solchen in vertretbarer Weise zugänglich bleibt ( BGE 138 I 321 E. 2 S. 323; BGE 137 I 77 E. 2 S. 82).</w:t>
      </w:r>
    </w:p>
    <w:p>
      <w:r>
        <w:rPr>
          <w:b/>
        </w:rPr>
        <w:t>E. 2.5.2</w:t>
      </w:r>
    </w:p>
    <w:p>
      <w:r>
        <w:t>Nach § 3 Abs. 2 Satz 2 GG/ZH 2015 nehmen die Parlamentsgemeinden auch die Aufgaben der Gemeinden im Bereich von Schule und Bildung wahr. Im Gegenzug sind die vorbestehenden Schulgemeinden, soweit sie ganz oder teilweise auf dem Gebiet einer Parlamentsgemeinde liegen, gehalten, ihre Aufgaben an die politische Gemeinde abzutreten. Gemäss § 177 GG/ZH 2015 hat dies "bis zum Ablauf der nächsten ordentlichen Amtsdauer nach Inkrafttreten dieses Gesetzes" zu geschehen. Das revidierte Gemeindegesetz sieht von jeder Mitwirkung der Stimmberechtigten der Schulgemeinden ab. Beim Gesetz handelt es sich - anders als bei der Verfassung - um einen neuen Erlass, was in der Auslegung zu einem verstärkten Stellenwert des Wortlauts und der Materialien führt ( BGE 141 III 155 E. 4.2 S. 156; BGE 141 IV 299 E. 1.3.2 S. 299 f.; BGE 141 V 206 E. 3.2 S. 212).</w:t>
      </w:r>
    </w:p>
    <w:p>
      <w:r>
        <w:rPr>
          <w:b/>
        </w:rPr>
        <w:t>E. 2.5.3</w:t>
      </w:r>
    </w:p>
    <w:p>
      <w:r>
        <w:t>Der Wortlaut des Gesetzes ist klar und unzweideutig. Der Blick in die Materialien bekräftigt diese Einschätzung: Schon § 31 Abs. 2 VE-GG/ZH (Sachverhalt, lit. A) hatte darauf abgezielt, das BGE 143 I 272 S. 283 Nebeneinander von Gemeindeversammlung (Schulgemeinde) und Gemeindeparlament (politische Gemeinde) zu beseitigen. Der Regierungsrat liess das Ansinnen zwar fallen, doch nahm die vorberatende Kommission es gleich wieder auf (Sachverhalt, lit. B). Der Kantonsrat sah seinerseits von der Neuerung zunächst ab, um sie später doch gutzuheissen. Das einleitende Votum in der Sitzung vom 2. Februar 2015 erhellt die Stossrichtung: Beabsichtigt war, den "alten Zopf" abzuschneiden, um dadurch die "unübersichtliche, verwirrende und groteske" Situation zu beseitigen (Sachverhalt, lit. C). Die Mehrheit des Kantonsrats teilte diese Einschätzung. In seiner Vernehmlassung zur Beschwerde führt der Kantonsrat denn auch aus, nach Ablauf der gesetzlichen Frist (§ 177 GG/ZH 2015) würde die Auflösung "soweit notwendig ersatzhalber aufsichtsrechtlich vorgenommen", mithin gegebenenfalls auch ohne Zustimmung der Stimmberechtigten.</w:t>
      </w:r>
    </w:p>
    <w:p>
      <w:r>
        <w:rPr>
          <w:b/>
        </w:rPr>
        <w:t>E. 2.5.4</w:t>
      </w:r>
    </w:p>
    <w:p>
      <w:r>
        <w:t>Eine verfassungskonforme Auslegung von § 3 Abs. 2 Satz 2 und § 177 GG/ZH 2015 ist unter diesen Umständen ausgeschlossen. Die neu geschaffene gesetzliche Grundlage erlaubt Zwangsfusionen, was verfassungsrechtlich nicht haltbar ist. Das revidierte Gesetzesrecht vermag Art. 84 Abs. 2 KV/ZH nicht zurückzudrängen. Gegenteils geht das kantonale Verfassungsrecht - anders als im Bereich des Bundesrechts ( Art. 190 BV ) - dem nachgeordneten Recht ausnahmslos vor. Die Beschwerde erweist sich damit als begründet, weshalb sie gutzuheissen ist und die angefochtenen Bestimmungen aufzuheben sind. Mit Blick darauf erübrigt es sich, den angeblichen Gehörsverletzungen nachzugehen (nicht publ. E. 1.3.6).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